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6"/>
          <w:szCs w:val="36"/>
        </w:rPr>
      </w:pPr>
      <w:r>
        <w:rPr>
          <w:rFonts w:hint="eastAsia" w:ascii="黑体" w:hAnsi="黑体" w:eastAsia="黑体" w:cs="黑体"/>
          <w:szCs w:val="32"/>
        </w:rPr>
        <w:t>附件1：</w:t>
      </w:r>
    </w:p>
    <w:p>
      <w:pPr>
        <w:spacing w:line="560" w:lineRule="exact"/>
        <w:jc w:val="center"/>
        <w:rPr>
          <w:rFonts w:ascii="黑体" w:hAnsi="黑体" w:eastAsia="黑体" w:cs="黑体"/>
          <w:sz w:val="21"/>
          <w:szCs w:val="21"/>
        </w:rPr>
      </w:pPr>
      <w:r>
        <w:rPr>
          <w:rFonts w:hint="eastAsia" w:ascii="方正小标宋简体" w:hAnsi="方正小标宋简体" w:eastAsia="方正小标宋简体" w:cs="方正小标宋简体"/>
          <w:sz w:val="40"/>
          <w:szCs w:val="40"/>
          <w:lang w:val="en-US" w:eastAsia="zh-CN"/>
        </w:rPr>
        <w:t>中国地质调查局昆明自然资源综合调查中心地质调查项目分析测试类委托业务第5、6标段采购需求</w:t>
      </w:r>
    </w:p>
    <w:p>
      <w:pPr>
        <w:widowControl/>
        <w:numPr>
          <w:ilvl w:val="0"/>
          <w:numId w:val="0"/>
        </w:numPr>
        <w:spacing w:line="360" w:lineRule="auto"/>
        <w:jc w:val="center"/>
        <w:outlineLvl w:val="1"/>
        <w:rPr>
          <w:rFonts w:hint="eastAsia" w:ascii="仿宋" w:hAnsi="仿宋" w:cs="仿宋"/>
          <w:b/>
          <w:bCs/>
          <w:color w:val="auto"/>
          <w:kern w:val="0"/>
          <w:sz w:val="32"/>
          <w:szCs w:val="28"/>
          <w:highlight w:val="none"/>
          <w:lang w:val="en-US" w:eastAsia="zh-CN" w:bidi="ar"/>
        </w:rPr>
      </w:pPr>
      <w:bookmarkStart w:id="0" w:name="_Toc27563"/>
      <w:r>
        <w:rPr>
          <w:rFonts w:hint="eastAsia" w:ascii="仿宋" w:hAnsi="仿宋" w:cs="仿宋"/>
          <w:b/>
          <w:bCs/>
          <w:color w:val="auto"/>
          <w:kern w:val="0"/>
          <w:sz w:val="32"/>
          <w:szCs w:val="28"/>
          <w:highlight w:val="none"/>
          <w:lang w:val="en-US" w:eastAsia="zh-CN" w:bidi="ar"/>
        </w:rPr>
        <w:t>5标段</w:t>
      </w:r>
      <w:bookmarkEnd w:id="0"/>
      <w:r>
        <w:rPr>
          <w:rFonts w:hint="eastAsia" w:ascii="仿宋" w:hAnsi="仿宋" w:cs="仿宋"/>
          <w:b/>
          <w:bCs/>
          <w:color w:val="auto"/>
          <w:kern w:val="0"/>
          <w:sz w:val="32"/>
          <w:szCs w:val="28"/>
          <w:highlight w:val="none"/>
          <w:lang w:val="en-US" w:eastAsia="zh-CN" w:bidi="ar"/>
        </w:rPr>
        <w:t>岩石土工试验</w:t>
      </w:r>
    </w:p>
    <w:tbl>
      <w:tblPr>
        <w:tblStyle w:val="5"/>
        <w:tblW w:w="45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2"/>
        <w:gridCol w:w="1066"/>
        <w:gridCol w:w="965"/>
        <w:gridCol w:w="3223"/>
        <w:gridCol w:w="1174"/>
        <w:gridCol w:w="433"/>
        <w:gridCol w:w="433"/>
        <w:gridCol w:w="1071"/>
        <w:gridCol w:w="1176"/>
        <w:gridCol w:w="1216"/>
        <w:gridCol w:w="1296"/>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分类名称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所属项目名称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委托业务名称</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目标任务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预期成果及考核指标</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4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工作量</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采购最高单价（元）</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采购最高限价（元）</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工作方法</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技术要求</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预计</w:t>
            </w:r>
            <w:r>
              <w:rPr>
                <w:rFonts w:hint="eastAsia" w:ascii="宋体" w:hAnsi="宋体" w:eastAsia="宋体" w:cs="宋体"/>
                <w:b/>
                <w:bCs/>
                <w:i w:val="0"/>
                <w:iCs w:val="0"/>
                <w:color w:val="000000"/>
                <w:kern w:val="0"/>
                <w:sz w:val="21"/>
                <w:szCs w:val="21"/>
                <w:u w:val="none"/>
                <w:lang w:val="en-US" w:eastAsia="zh-CN" w:bidi="ar"/>
              </w:rPr>
              <w:t>工作周期及进度安排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岩石土工试验</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滇西***调查</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土工试验</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颗粒分析、土壤孔隙度（土壤容重、土壤比重）</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提交测试报告纸质版（盖章）三份、电子版一份</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w:t>
            </w:r>
          </w:p>
        </w:tc>
        <w:tc>
          <w:tcPr>
            <w:tcW w:w="4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土工试验</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分析测试达到相关标准，报告加盖CMA章</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7月送样完毕，8月底出测试结果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岩石土工试验</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滇西***调查</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土工试验</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工试验（包括：颗粒组成（砾石、砂粒、粉砂、黏粒等颗粒大小分布）、田间持水量、最大持水量、最小持水量、土壤孔隙度（土壤容重、土壤比重）、土壤团聚体、渗透系数、阳离子交换量、土壤含水量、电导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提交测试报告纸质版（盖章）三份、电子版一份</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20000.00 </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土工试验</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分析测试达到相关标准，报告加盖CMA章</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7月送样完毕，8月底出测试结果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岩石土工试验</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云南***调查</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岩石试验（饱和干燥）</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岩石试验（饱和干燥）</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提交测试报告纸质版（盖章）三份、电子版一份</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1976.00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29640.00 </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岩石试验（饱和干燥）</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分析测试达到相关标准，报告加盖CMA章</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7月送样完毕，8月底出测试结果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岩石土工试验</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云南***调查</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土工试验</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表征岩、土结构和成分的指标；渗透性指标；变形性能和强度指标等</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提交测试报告纸质版（盖章）三份、电子版一份</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547.00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8205.00 </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土工试验</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分析测试达到相关标准，报告加盖CMA章</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7月送样完毕，8月底出测试结果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auto"/>
                <w:sz w:val="21"/>
                <w:szCs w:val="21"/>
                <w:highlight w:val="none"/>
                <w:u w:val="none"/>
                <w:lang w:val="en-US" w:eastAsia="zh-CN"/>
              </w:rPr>
              <w:t>采购总价控制价（元）</w:t>
            </w:r>
          </w:p>
        </w:tc>
        <w:tc>
          <w:tcPr>
            <w:tcW w:w="72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_GB2312" w:hAnsi="Times New Roman" w:eastAsia="仿宋_GB2312"/>
                <w:b w:val="0"/>
                <w:bCs w:val="0"/>
                <w:color w:val="000000" w:themeColor="text1"/>
                <w:sz w:val="24"/>
                <w:szCs w:val="24"/>
                <w:shd w:val="clear" w:color="auto" w:fill="FFFFFF"/>
                <w:lang w:val="en-US" w:eastAsia="zh-CN"/>
                <w14:textFill>
                  <w14:solidFill>
                    <w14:schemeClr w14:val="tx1"/>
                  </w14:solidFill>
                </w14:textFill>
              </w:rPr>
              <w:t>60845</w:t>
            </w:r>
            <w:r>
              <w:rPr>
                <w:rFonts w:hint="eastAsia" w:ascii="仿宋_GB2312" w:hAnsi="Times New Roman" w:eastAsia="仿宋_GB2312"/>
                <w:b w:val="0"/>
                <w:bCs w:val="0"/>
                <w:color w:val="000000" w:themeColor="text1"/>
                <w:sz w:val="24"/>
                <w:szCs w:val="24"/>
                <w:shd w:val="clear" w:color="auto" w:fill="FFFFFF"/>
                <w14:textFill>
                  <w14:solidFill>
                    <w14:schemeClr w14:val="tx1"/>
                  </w14:solidFill>
                </w14:textFill>
              </w:rPr>
              <w:t>.00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spacing w:line="460" w:lineRule="exact"/>
        <w:ind w:firstLine="402" w:firstLineChars="200"/>
        <w:rPr>
          <w:rFonts w:hint="eastAsia" w:ascii="仿宋_GB2312" w:eastAsia="仿宋_GB2312"/>
          <w:sz w:val="32"/>
          <w:szCs w:val="32"/>
        </w:rPr>
      </w:pPr>
      <w:r>
        <w:rPr>
          <w:rFonts w:hint="eastAsia" w:ascii="仿宋" w:hAnsi="仿宋" w:eastAsia="仿宋" w:cs="仿宋"/>
          <w:b/>
          <w:bCs/>
          <w:color w:val="auto"/>
          <w:sz w:val="20"/>
          <w:szCs w:val="20"/>
          <w:highlight w:val="none"/>
        </w:rPr>
        <w:t>★注：（1）本项目分</w:t>
      </w:r>
      <w:r>
        <w:rPr>
          <w:rFonts w:hint="eastAsia" w:ascii="仿宋" w:hAnsi="仿宋" w:eastAsia="仿宋" w:cs="仿宋"/>
          <w:b/>
          <w:bCs/>
          <w:color w:val="auto"/>
          <w:sz w:val="20"/>
          <w:szCs w:val="20"/>
          <w:highlight w:val="none"/>
          <w:lang w:val="en-US" w:eastAsia="zh-CN"/>
        </w:rPr>
        <w:t>2</w:t>
      </w:r>
      <w:r>
        <w:rPr>
          <w:rFonts w:hint="eastAsia" w:ascii="仿宋" w:hAnsi="仿宋" w:eastAsia="仿宋" w:cs="仿宋"/>
          <w:b/>
          <w:bCs/>
          <w:color w:val="auto"/>
          <w:sz w:val="20"/>
          <w:szCs w:val="20"/>
          <w:highlight w:val="none"/>
        </w:rPr>
        <w:t>个标段，供应商可根据自身实力同时对多个标段投标，评标顺序将按</w:t>
      </w:r>
      <w:r>
        <w:rPr>
          <w:rFonts w:hint="eastAsia" w:ascii="仿宋" w:hAnsi="仿宋" w:eastAsia="仿宋" w:cs="仿宋"/>
          <w:b/>
          <w:bCs/>
          <w:color w:val="auto"/>
          <w:sz w:val="20"/>
          <w:szCs w:val="20"/>
          <w:highlight w:val="none"/>
          <w:lang w:val="en-US" w:eastAsia="zh-CN"/>
        </w:rPr>
        <w:t>5</w:t>
      </w:r>
      <w:r>
        <w:rPr>
          <w:rFonts w:hint="eastAsia" w:ascii="仿宋" w:hAnsi="仿宋" w:eastAsia="仿宋" w:cs="仿宋"/>
          <w:b/>
          <w:bCs/>
          <w:color w:val="auto"/>
          <w:sz w:val="20"/>
          <w:szCs w:val="20"/>
          <w:highlight w:val="none"/>
        </w:rPr>
        <w:t>标段→</w:t>
      </w:r>
      <w:r>
        <w:rPr>
          <w:rFonts w:hint="eastAsia" w:ascii="仿宋" w:hAnsi="仿宋" w:eastAsia="仿宋" w:cs="仿宋"/>
          <w:b/>
          <w:bCs/>
          <w:color w:val="auto"/>
          <w:sz w:val="20"/>
          <w:szCs w:val="20"/>
          <w:highlight w:val="none"/>
          <w:lang w:val="en-US" w:eastAsia="zh-CN"/>
        </w:rPr>
        <w:t>6</w:t>
      </w:r>
      <w:r>
        <w:rPr>
          <w:rFonts w:hint="eastAsia" w:ascii="仿宋" w:hAnsi="仿宋" w:eastAsia="仿宋" w:cs="仿宋"/>
          <w:b/>
          <w:bCs/>
          <w:color w:val="auto"/>
          <w:sz w:val="20"/>
          <w:szCs w:val="20"/>
          <w:highlight w:val="none"/>
        </w:rPr>
        <w:t>标段的顺序逐一进行评审；供应商须对所投标段进行整体投标，不可缺项、漏项，否则响应文件将按无效处理。（2）供应商须分标段制作、递交响应文件，对所投标段内容须进行整体响应，不可缺项、漏项，否则响应文件将按无效处理。</w:t>
      </w:r>
      <w:bookmarkStart w:id="1" w:name="_GoBack"/>
      <w:bookmarkEnd w:id="1"/>
    </w:p>
    <w:p>
      <w:pPr>
        <w:rPr>
          <w:rFonts w:hint="default" w:ascii="仿宋" w:hAnsi="仿宋" w:eastAsia="仿宋" w:cs="仿宋"/>
          <w:b/>
          <w:bCs/>
          <w:color w:val="auto"/>
          <w:kern w:val="0"/>
          <w:sz w:val="24"/>
          <w:highlight w:val="none"/>
          <w:lang w:val="en-US" w:eastAsia="zh-CN" w:bidi="ar"/>
        </w:rPr>
      </w:pPr>
      <w:r>
        <w:rPr>
          <w:rFonts w:hint="default" w:ascii="仿宋" w:hAnsi="仿宋" w:eastAsia="仿宋" w:cs="仿宋"/>
          <w:b/>
          <w:bCs/>
          <w:color w:val="auto"/>
          <w:kern w:val="0"/>
          <w:sz w:val="24"/>
          <w:highlight w:val="none"/>
          <w:lang w:val="en-US" w:eastAsia="zh-CN" w:bidi="ar"/>
        </w:rPr>
        <w:br w:type="page"/>
      </w:r>
    </w:p>
    <w:p>
      <w:pPr>
        <w:widowControl/>
        <w:numPr>
          <w:ilvl w:val="0"/>
          <w:numId w:val="0"/>
        </w:numPr>
        <w:spacing w:line="360" w:lineRule="auto"/>
        <w:jc w:val="center"/>
        <w:outlineLvl w:val="1"/>
        <w:rPr>
          <w:rFonts w:hint="eastAsia" w:ascii="仿宋" w:hAnsi="仿宋" w:eastAsia="仿宋" w:cs="仿宋"/>
          <w:b/>
          <w:bCs/>
          <w:color w:val="auto"/>
          <w:kern w:val="0"/>
          <w:sz w:val="24"/>
          <w:highlight w:val="none"/>
          <w:lang w:val="en-US" w:eastAsia="zh-CN" w:bidi="ar"/>
        </w:rPr>
      </w:pPr>
      <w:r>
        <w:rPr>
          <w:rFonts w:hint="eastAsia" w:ascii="仿宋" w:hAnsi="仿宋" w:cs="仿宋"/>
          <w:b/>
          <w:bCs/>
          <w:color w:val="auto"/>
          <w:kern w:val="0"/>
          <w:sz w:val="32"/>
          <w:szCs w:val="28"/>
          <w:highlight w:val="none"/>
          <w:lang w:val="en-US" w:eastAsia="zh-CN" w:bidi="ar"/>
        </w:rPr>
        <w:t>6标段古生物鉴定</w:t>
      </w:r>
    </w:p>
    <w:tbl>
      <w:tblPr>
        <w:tblStyle w:val="5"/>
        <w:tblW w:w="45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8"/>
        <w:gridCol w:w="1092"/>
        <w:gridCol w:w="1346"/>
        <w:gridCol w:w="1250"/>
        <w:gridCol w:w="2362"/>
        <w:gridCol w:w="550"/>
        <w:gridCol w:w="663"/>
        <w:gridCol w:w="1012"/>
        <w:gridCol w:w="1275"/>
        <w:gridCol w:w="1163"/>
        <w:gridCol w:w="125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938"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分类名称</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所属项目名称</w:t>
            </w:r>
          </w:p>
        </w:tc>
        <w:tc>
          <w:tcPr>
            <w:tcW w:w="134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委托业务名称</w:t>
            </w:r>
          </w:p>
        </w:tc>
        <w:tc>
          <w:tcPr>
            <w:tcW w:w="12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目标任务</w:t>
            </w:r>
          </w:p>
        </w:tc>
        <w:tc>
          <w:tcPr>
            <w:tcW w:w="236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预期成果及考核指标</w:t>
            </w:r>
          </w:p>
        </w:tc>
        <w:tc>
          <w:tcPr>
            <w:tcW w:w="5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66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工作量</w:t>
            </w:r>
          </w:p>
        </w:tc>
        <w:tc>
          <w:tcPr>
            <w:tcW w:w="101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采购最高单价（元）</w:t>
            </w:r>
          </w:p>
        </w:tc>
        <w:tc>
          <w:tcPr>
            <w:tcW w:w="12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采购最高限价（元）</w:t>
            </w:r>
          </w:p>
        </w:tc>
        <w:tc>
          <w:tcPr>
            <w:tcW w:w="116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工作方法</w:t>
            </w:r>
          </w:p>
        </w:tc>
        <w:tc>
          <w:tcPr>
            <w:tcW w:w="12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技术要求</w:t>
            </w:r>
          </w:p>
        </w:tc>
        <w:tc>
          <w:tcPr>
            <w:tcW w:w="142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预计</w:t>
            </w:r>
            <w:r>
              <w:rPr>
                <w:rFonts w:hint="eastAsia" w:ascii="宋体" w:hAnsi="宋体" w:eastAsia="宋体" w:cs="宋体"/>
                <w:b/>
                <w:bCs/>
                <w:i w:val="0"/>
                <w:iCs w:val="0"/>
                <w:color w:val="000000"/>
                <w:kern w:val="0"/>
                <w:sz w:val="21"/>
                <w:szCs w:val="21"/>
                <w:u w:val="none"/>
                <w:lang w:val="en-US" w:eastAsia="zh-CN" w:bidi="ar"/>
              </w:rPr>
              <w:t>工作周期及进度安排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9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古生物鉴定</w:t>
            </w:r>
          </w:p>
        </w:tc>
        <w:tc>
          <w:tcPr>
            <w:tcW w:w="10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云南***调查</w:t>
            </w:r>
          </w:p>
        </w:tc>
        <w:tc>
          <w:tcPr>
            <w:tcW w:w="134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大化石古生物鉴定</w:t>
            </w:r>
          </w:p>
        </w:tc>
        <w:tc>
          <w:tcPr>
            <w:tcW w:w="12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大化石古生物鉴定</w:t>
            </w:r>
          </w:p>
        </w:tc>
        <w:tc>
          <w:tcPr>
            <w:tcW w:w="23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提交测试报告纸质版（盖章）三份、电子版一份</w:t>
            </w:r>
          </w:p>
        </w:tc>
        <w:tc>
          <w:tcPr>
            <w:tcW w:w="5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0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342.00 </w:t>
            </w:r>
          </w:p>
        </w:tc>
        <w:tc>
          <w:tcPr>
            <w:tcW w:w="12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6840.00 </w:t>
            </w:r>
          </w:p>
        </w:tc>
        <w:tc>
          <w:tcPr>
            <w:tcW w:w="11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大化石古生物鉴定</w:t>
            </w:r>
          </w:p>
        </w:tc>
        <w:tc>
          <w:tcPr>
            <w:tcW w:w="12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分析测试达到相关标准，报告加盖CMA章</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7月送样完毕，8月底出测试结果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古生物鉴定</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云南***调查</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微体古生物鉴定</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微体古生物鉴定</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提交测试报告纸质版（盖章）三份、电子版一份</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10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1058.00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10580.00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微体古生物鉴定</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分析测试达到相关标准，报告加盖CMA章</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7月送样完毕，8月底出测试结果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古生物鉴定</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云南***调查</w:t>
            </w:r>
          </w:p>
        </w:tc>
        <w:tc>
          <w:tcPr>
            <w:tcW w:w="134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孢粉电镜扫描</w:t>
            </w:r>
          </w:p>
        </w:tc>
        <w:tc>
          <w:tcPr>
            <w:tcW w:w="12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孢粉电镜扫描</w:t>
            </w:r>
          </w:p>
        </w:tc>
        <w:tc>
          <w:tcPr>
            <w:tcW w:w="23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提交测试报告纸质版（盖章）三份、电子版一份</w:t>
            </w:r>
          </w:p>
        </w:tc>
        <w:tc>
          <w:tcPr>
            <w:tcW w:w="5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6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1012"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孢粉电镜扫描</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分析测试达到相关标准，报告加盖CMA章</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7月送样完毕，8月底出测试结果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203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auto"/>
                <w:sz w:val="21"/>
                <w:szCs w:val="21"/>
                <w:highlight w:val="none"/>
                <w:u w:val="none"/>
                <w:lang w:val="en-US" w:eastAsia="zh-CN"/>
              </w:rPr>
              <w:t>采购总价控制价（元）</w:t>
            </w:r>
          </w:p>
        </w:tc>
        <w:tc>
          <w:tcPr>
            <w:tcW w:w="718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_GB2312" w:hAnsi="Times New Roman" w:eastAsia="仿宋_GB2312"/>
                <w:b w:val="0"/>
                <w:bCs w:val="0"/>
                <w:color w:val="000000" w:themeColor="text1"/>
                <w:sz w:val="24"/>
                <w:szCs w:val="24"/>
                <w:shd w:val="clear" w:color="auto" w:fill="FFFFFF"/>
                <w14:textFill>
                  <w14:solidFill>
                    <w14:schemeClr w14:val="tx1"/>
                  </w14:solidFill>
                </w14:textFill>
              </w:rPr>
              <w:t>20</w:t>
            </w:r>
            <w:r>
              <w:rPr>
                <w:rFonts w:hint="eastAsia" w:ascii="仿宋_GB2312" w:hAnsi="Times New Roman" w:eastAsia="仿宋_GB2312"/>
                <w:b w:val="0"/>
                <w:bCs w:val="0"/>
                <w:color w:val="000000" w:themeColor="text1"/>
                <w:sz w:val="24"/>
                <w:szCs w:val="24"/>
                <w:shd w:val="clear" w:color="auto" w:fill="FFFFFF"/>
                <w:lang w:val="en-US" w:eastAsia="zh-CN"/>
                <w14:textFill>
                  <w14:solidFill>
                    <w14:schemeClr w14:val="tx1"/>
                  </w14:solidFill>
                </w14:textFill>
              </w:rPr>
              <w:t>420</w:t>
            </w:r>
            <w:r>
              <w:rPr>
                <w:rFonts w:hint="eastAsia" w:ascii="仿宋_GB2312" w:hAnsi="Times New Roman" w:eastAsia="仿宋_GB2312"/>
                <w:b w:val="0"/>
                <w:bCs w:val="0"/>
                <w:color w:val="000000" w:themeColor="text1"/>
                <w:sz w:val="24"/>
                <w:szCs w:val="24"/>
                <w:shd w:val="clear" w:color="auto" w:fill="FFFFFF"/>
                <w14:textFill>
                  <w14:solidFill>
                    <w14:schemeClr w14:val="tx1"/>
                  </w14:solidFill>
                </w14:textFill>
              </w:rPr>
              <w:t>.00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spacing w:line="460" w:lineRule="exact"/>
        <w:ind w:firstLine="402" w:firstLineChars="200"/>
        <w:rPr>
          <w:rFonts w:hint="eastAsia" w:ascii="仿宋_GB2312" w:eastAsia="仿宋_GB2312"/>
          <w:sz w:val="32"/>
          <w:szCs w:val="32"/>
        </w:rPr>
      </w:pPr>
      <w:r>
        <w:rPr>
          <w:rFonts w:hint="eastAsia" w:ascii="仿宋" w:hAnsi="仿宋" w:eastAsia="仿宋" w:cs="仿宋"/>
          <w:b/>
          <w:bCs/>
          <w:color w:val="auto"/>
          <w:sz w:val="20"/>
          <w:szCs w:val="20"/>
          <w:highlight w:val="none"/>
        </w:rPr>
        <w:t>★注：（1）本项目分</w:t>
      </w:r>
      <w:r>
        <w:rPr>
          <w:rFonts w:hint="eastAsia" w:ascii="仿宋" w:hAnsi="仿宋" w:eastAsia="仿宋" w:cs="仿宋"/>
          <w:b/>
          <w:bCs/>
          <w:color w:val="auto"/>
          <w:sz w:val="20"/>
          <w:szCs w:val="20"/>
          <w:highlight w:val="none"/>
          <w:lang w:val="en-US" w:eastAsia="zh-CN"/>
        </w:rPr>
        <w:t>2</w:t>
      </w:r>
      <w:r>
        <w:rPr>
          <w:rFonts w:hint="eastAsia" w:ascii="仿宋" w:hAnsi="仿宋" w:eastAsia="仿宋" w:cs="仿宋"/>
          <w:b/>
          <w:bCs/>
          <w:color w:val="auto"/>
          <w:sz w:val="20"/>
          <w:szCs w:val="20"/>
          <w:highlight w:val="none"/>
        </w:rPr>
        <w:t>个标段，供应商可根据自身实力同时对多个标段投标，评标顺序将按</w:t>
      </w:r>
      <w:r>
        <w:rPr>
          <w:rFonts w:hint="eastAsia" w:ascii="仿宋" w:hAnsi="仿宋" w:eastAsia="仿宋" w:cs="仿宋"/>
          <w:b/>
          <w:bCs/>
          <w:color w:val="auto"/>
          <w:sz w:val="20"/>
          <w:szCs w:val="20"/>
          <w:highlight w:val="none"/>
          <w:lang w:val="en-US" w:eastAsia="zh-CN"/>
        </w:rPr>
        <w:t>5</w:t>
      </w:r>
      <w:r>
        <w:rPr>
          <w:rFonts w:hint="eastAsia" w:ascii="仿宋" w:hAnsi="仿宋" w:eastAsia="仿宋" w:cs="仿宋"/>
          <w:b/>
          <w:bCs/>
          <w:color w:val="auto"/>
          <w:sz w:val="20"/>
          <w:szCs w:val="20"/>
          <w:highlight w:val="none"/>
        </w:rPr>
        <w:t>标段→</w:t>
      </w:r>
      <w:r>
        <w:rPr>
          <w:rFonts w:hint="eastAsia" w:ascii="仿宋" w:hAnsi="仿宋" w:eastAsia="仿宋" w:cs="仿宋"/>
          <w:b/>
          <w:bCs/>
          <w:color w:val="auto"/>
          <w:sz w:val="20"/>
          <w:szCs w:val="20"/>
          <w:highlight w:val="none"/>
          <w:lang w:val="en-US" w:eastAsia="zh-CN"/>
        </w:rPr>
        <w:t>6</w:t>
      </w:r>
      <w:r>
        <w:rPr>
          <w:rFonts w:hint="eastAsia" w:ascii="仿宋" w:hAnsi="仿宋" w:eastAsia="仿宋" w:cs="仿宋"/>
          <w:b/>
          <w:bCs/>
          <w:color w:val="auto"/>
          <w:sz w:val="20"/>
          <w:szCs w:val="20"/>
          <w:highlight w:val="none"/>
        </w:rPr>
        <w:t>标段的顺序逐一进行评审；供应商须对所投标段进行整体投标，不可缺项、漏项，否则响应文件将按无效处理。（2）供应商须分标段制作、递交响应文件，对所投标段内容须进行整体响应，不可缺项、漏项，否则响应文件将按无效处理。</w:t>
      </w:r>
    </w:p>
    <w:p>
      <w:pPr>
        <w:spacing w:line="560" w:lineRule="exact"/>
        <w:rPr>
          <w:rFonts w:ascii="黑体" w:hAnsi="黑体" w:eastAsia="黑体" w:cs="黑体"/>
          <w:sz w:val="21"/>
          <w:szCs w:val="21"/>
        </w:rPr>
      </w:pPr>
    </w:p>
    <w:p>
      <w:pPr>
        <w:pStyle w:val="2"/>
        <w:spacing w:line="360" w:lineRule="auto"/>
        <w:ind w:left="0" w:leftChars="0" w:firstLine="0" w:firstLineChars="0"/>
        <w:rPr>
          <w:rFonts w:ascii="黑体" w:hAnsi="黑体" w:eastAsia="黑体" w:cs="黑体"/>
          <w:sz w:val="21"/>
          <w:szCs w:val="21"/>
        </w:rPr>
      </w:pPr>
      <w:r>
        <w:rPr>
          <w:rFonts w:hint="eastAsia" w:ascii="宋体" w:hAnsi="宋体"/>
          <w:b/>
          <w:bCs/>
          <w:color w:val="auto"/>
          <w:sz w:val="24"/>
          <w:highlight w:val="none"/>
        </w:rPr>
        <w:t>行业分类：本项目属于</w:t>
      </w:r>
      <w:r>
        <w:rPr>
          <w:rFonts w:hint="eastAsia" w:ascii="宋体" w:hAnsi="宋体" w:eastAsia="宋体" w:cs="Times New Roman"/>
          <w:b/>
          <w:bCs/>
          <w:color w:val="auto"/>
          <w:sz w:val="24"/>
          <w:highlight w:val="none"/>
          <w:lang w:eastAsia="zh-CN"/>
        </w:rPr>
        <w:t>（</w:t>
      </w:r>
      <w:r>
        <w:rPr>
          <w:rFonts w:hint="eastAsia" w:ascii="宋体" w:hAnsi="宋体" w:eastAsia="宋体" w:cs="Times New Roman"/>
          <w:b/>
          <w:bCs/>
          <w:color w:val="auto"/>
          <w:sz w:val="24"/>
          <w:highlight w:val="none"/>
          <w:lang w:val="en-US" w:eastAsia="zh-CN"/>
        </w:rPr>
        <w:t>分析测试类）技术</w:t>
      </w:r>
      <w:r>
        <w:rPr>
          <w:rFonts w:hint="eastAsia" w:ascii="宋体" w:hAnsi="宋体" w:eastAsia="宋体" w:cs="Times New Roman"/>
          <w:b/>
          <w:bCs/>
          <w:color w:val="auto"/>
          <w:sz w:val="24"/>
          <w:highlight w:val="none"/>
        </w:rPr>
        <w:t>服务行业</w:t>
      </w:r>
      <w:r>
        <w:rPr>
          <w:rFonts w:hint="eastAsia" w:ascii="宋体" w:hAnsi="宋体"/>
          <w:b/>
          <w:bCs/>
          <w:color w:val="auto"/>
          <w:sz w:val="24"/>
          <w:highlight w:val="none"/>
        </w:rPr>
        <w:t>。</w:t>
      </w: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 xml:space="preserve">第 </w:t>
                          </w:r>
                          <w:r>
                            <w:rPr>
                              <w:rFonts w:hint="eastAsia" w:asciiTheme="minorEastAsia" w:hAnsiTheme="minorEastAsia" w:eastAsiaTheme="minorEastAsia" w:cstheme="minorEastAsia"/>
                              <w:szCs w:val="18"/>
                            </w:rPr>
                            <w:fldChar w:fldCharType="begin"/>
                          </w:r>
                          <w:r>
                            <w:rPr>
                              <w:rFonts w:hint="eastAsia" w:asciiTheme="minorEastAsia" w:hAnsiTheme="minorEastAsia" w:eastAsiaTheme="minorEastAsia" w:cstheme="minorEastAsia"/>
                              <w:szCs w:val="18"/>
                            </w:rPr>
                            <w:instrText xml:space="preserve"> PAGE  \* MERGEFORMAT </w:instrText>
                          </w:r>
                          <w:r>
                            <w:rPr>
                              <w:rFonts w:hint="eastAsia" w:asciiTheme="minorEastAsia" w:hAnsiTheme="minorEastAsia" w:eastAsiaTheme="minorEastAsia" w:cstheme="minorEastAsia"/>
                              <w:szCs w:val="18"/>
                            </w:rPr>
                            <w:fldChar w:fldCharType="separate"/>
                          </w:r>
                          <w:r>
                            <w:rPr>
                              <w:rFonts w:hint="eastAsia" w:asciiTheme="minorEastAsia" w:hAnsiTheme="minorEastAsia" w:eastAsiaTheme="minorEastAsia" w:cstheme="minorEastAsia"/>
                              <w:szCs w:val="18"/>
                            </w:rPr>
                            <w:t>1</w:t>
                          </w:r>
                          <w:r>
                            <w:rPr>
                              <w:rFonts w:hint="eastAsia" w:asciiTheme="minorEastAsia" w:hAnsiTheme="minorEastAsia" w:eastAsiaTheme="minorEastAsia" w:cstheme="minorEastAsia"/>
                              <w:szCs w:val="18"/>
                            </w:rPr>
                            <w:fldChar w:fldCharType="end"/>
                          </w:r>
                          <w:r>
                            <w:rPr>
                              <w:rFonts w:hint="eastAsia" w:asciiTheme="minorEastAsia" w:hAnsiTheme="minorEastAsia" w:eastAsiaTheme="minorEastAsia" w:cstheme="minorEastAsia"/>
                              <w:szCs w:val="18"/>
                            </w:rPr>
                            <w:t xml:space="preserve"> 页 共 </w:t>
                          </w:r>
                          <w:r>
                            <w:rPr>
                              <w:rFonts w:hint="eastAsia" w:asciiTheme="minorEastAsia" w:hAnsiTheme="minorEastAsia" w:eastAsiaTheme="minorEastAsia" w:cstheme="minorEastAsia"/>
                              <w:szCs w:val="18"/>
                            </w:rPr>
                            <w:fldChar w:fldCharType="begin"/>
                          </w:r>
                          <w:r>
                            <w:rPr>
                              <w:rFonts w:hint="eastAsia" w:asciiTheme="minorEastAsia" w:hAnsiTheme="minorEastAsia" w:eastAsiaTheme="minorEastAsia" w:cstheme="minorEastAsia"/>
                              <w:szCs w:val="18"/>
                            </w:rPr>
                            <w:instrText xml:space="preserve"> NUMPAGES  \* MERGEFORMAT </w:instrText>
                          </w:r>
                          <w:r>
                            <w:rPr>
                              <w:rFonts w:hint="eastAsia" w:asciiTheme="minorEastAsia" w:hAnsiTheme="minorEastAsia" w:eastAsiaTheme="minorEastAsia" w:cstheme="minorEastAsia"/>
                              <w:szCs w:val="18"/>
                            </w:rPr>
                            <w:fldChar w:fldCharType="separate"/>
                          </w:r>
                          <w:r>
                            <w:rPr>
                              <w:rFonts w:hint="eastAsia" w:asciiTheme="minorEastAsia" w:hAnsiTheme="minorEastAsia" w:eastAsiaTheme="minorEastAsia" w:cstheme="minorEastAsia"/>
                              <w:szCs w:val="18"/>
                            </w:rPr>
                            <w:t>7</w:t>
                          </w:r>
                          <w:r>
                            <w:rPr>
                              <w:rFonts w:hint="eastAsia" w:asciiTheme="minorEastAsia" w:hAnsiTheme="minorEastAsia" w:eastAsiaTheme="minorEastAsia" w:cstheme="minorEastAsia"/>
                              <w:szCs w:val="18"/>
                            </w:rPr>
                            <w:fldChar w:fldCharType="end"/>
                          </w:r>
                          <w:r>
                            <w:rPr>
                              <w:rFonts w:hint="eastAsia" w:asciiTheme="minorEastAsia" w:hAnsiTheme="minorEastAsia" w:eastAsiaTheme="minorEastAsia" w:cstheme="minorEastAsia"/>
                              <w:szCs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 xml:space="preserve">第 </w:t>
                    </w:r>
                    <w:r>
                      <w:rPr>
                        <w:rFonts w:hint="eastAsia" w:asciiTheme="minorEastAsia" w:hAnsiTheme="minorEastAsia" w:eastAsiaTheme="minorEastAsia" w:cstheme="minorEastAsia"/>
                        <w:szCs w:val="18"/>
                      </w:rPr>
                      <w:fldChar w:fldCharType="begin"/>
                    </w:r>
                    <w:r>
                      <w:rPr>
                        <w:rFonts w:hint="eastAsia" w:asciiTheme="minorEastAsia" w:hAnsiTheme="minorEastAsia" w:eastAsiaTheme="minorEastAsia" w:cstheme="minorEastAsia"/>
                        <w:szCs w:val="18"/>
                      </w:rPr>
                      <w:instrText xml:space="preserve"> PAGE  \* MERGEFORMAT </w:instrText>
                    </w:r>
                    <w:r>
                      <w:rPr>
                        <w:rFonts w:hint="eastAsia" w:asciiTheme="minorEastAsia" w:hAnsiTheme="minorEastAsia" w:eastAsiaTheme="minorEastAsia" w:cstheme="minorEastAsia"/>
                        <w:szCs w:val="18"/>
                      </w:rPr>
                      <w:fldChar w:fldCharType="separate"/>
                    </w:r>
                    <w:r>
                      <w:rPr>
                        <w:rFonts w:hint="eastAsia" w:asciiTheme="minorEastAsia" w:hAnsiTheme="minorEastAsia" w:eastAsiaTheme="minorEastAsia" w:cstheme="minorEastAsia"/>
                        <w:szCs w:val="18"/>
                      </w:rPr>
                      <w:t>1</w:t>
                    </w:r>
                    <w:r>
                      <w:rPr>
                        <w:rFonts w:hint="eastAsia" w:asciiTheme="minorEastAsia" w:hAnsiTheme="minorEastAsia" w:eastAsiaTheme="minorEastAsia" w:cstheme="minorEastAsia"/>
                        <w:szCs w:val="18"/>
                      </w:rPr>
                      <w:fldChar w:fldCharType="end"/>
                    </w:r>
                    <w:r>
                      <w:rPr>
                        <w:rFonts w:hint="eastAsia" w:asciiTheme="minorEastAsia" w:hAnsiTheme="minorEastAsia" w:eastAsiaTheme="minorEastAsia" w:cstheme="minorEastAsia"/>
                        <w:szCs w:val="18"/>
                      </w:rPr>
                      <w:t xml:space="preserve"> 页 共 </w:t>
                    </w:r>
                    <w:r>
                      <w:rPr>
                        <w:rFonts w:hint="eastAsia" w:asciiTheme="minorEastAsia" w:hAnsiTheme="minorEastAsia" w:eastAsiaTheme="minorEastAsia" w:cstheme="minorEastAsia"/>
                        <w:szCs w:val="18"/>
                      </w:rPr>
                      <w:fldChar w:fldCharType="begin"/>
                    </w:r>
                    <w:r>
                      <w:rPr>
                        <w:rFonts w:hint="eastAsia" w:asciiTheme="minorEastAsia" w:hAnsiTheme="minorEastAsia" w:eastAsiaTheme="minorEastAsia" w:cstheme="minorEastAsia"/>
                        <w:szCs w:val="18"/>
                      </w:rPr>
                      <w:instrText xml:space="preserve"> NUMPAGES  \* MERGEFORMAT </w:instrText>
                    </w:r>
                    <w:r>
                      <w:rPr>
                        <w:rFonts w:hint="eastAsia" w:asciiTheme="minorEastAsia" w:hAnsiTheme="minorEastAsia" w:eastAsiaTheme="minorEastAsia" w:cstheme="minorEastAsia"/>
                        <w:szCs w:val="18"/>
                      </w:rPr>
                      <w:fldChar w:fldCharType="separate"/>
                    </w:r>
                    <w:r>
                      <w:rPr>
                        <w:rFonts w:hint="eastAsia" w:asciiTheme="minorEastAsia" w:hAnsiTheme="minorEastAsia" w:eastAsiaTheme="minorEastAsia" w:cstheme="minorEastAsia"/>
                        <w:szCs w:val="18"/>
                      </w:rPr>
                      <w:t>7</w:t>
                    </w:r>
                    <w:r>
                      <w:rPr>
                        <w:rFonts w:hint="eastAsia" w:asciiTheme="minorEastAsia" w:hAnsiTheme="minorEastAsia" w:eastAsiaTheme="minorEastAsia" w:cstheme="minorEastAsia"/>
                        <w:szCs w:val="18"/>
                      </w:rPr>
                      <w:fldChar w:fldCharType="end"/>
                    </w:r>
                    <w:r>
                      <w:rPr>
                        <w:rFonts w:hint="eastAsia" w:asciiTheme="minorEastAsia" w:hAnsiTheme="minorEastAsia" w:eastAsiaTheme="minorEastAsia" w:cstheme="minorEastAsia"/>
                        <w:szCs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ODE2NzBjNmY3MTIyZDYyNDMwYzRkMjk1NTJiMWUifQ=="/>
  </w:docVars>
  <w:rsids>
    <w:rsidRoot w:val="005D538B"/>
    <w:rsid w:val="00317CDB"/>
    <w:rsid w:val="005C7467"/>
    <w:rsid w:val="005D538B"/>
    <w:rsid w:val="00A33A19"/>
    <w:rsid w:val="00C36B5B"/>
    <w:rsid w:val="00D309E7"/>
    <w:rsid w:val="00D34518"/>
    <w:rsid w:val="00FF5B17"/>
    <w:rsid w:val="03A00345"/>
    <w:rsid w:val="0BB9452F"/>
    <w:rsid w:val="144C339F"/>
    <w:rsid w:val="187F35B8"/>
    <w:rsid w:val="1EF86845"/>
    <w:rsid w:val="2029286A"/>
    <w:rsid w:val="21351061"/>
    <w:rsid w:val="24DE1170"/>
    <w:rsid w:val="27B8643F"/>
    <w:rsid w:val="32125B25"/>
    <w:rsid w:val="32925335"/>
    <w:rsid w:val="350120AE"/>
    <w:rsid w:val="39287F70"/>
    <w:rsid w:val="3F9F4C3B"/>
    <w:rsid w:val="44403529"/>
    <w:rsid w:val="46E464B1"/>
    <w:rsid w:val="472F1E22"/>
    <w:rsid w:val="503E6C32"/>
    <w:rsid w:val="53130849"/>
    <w:rsid w:val="580835AD"/>
    <w:rsid w:val="5A7476F4"/>
    <w:rsid w:val="5B3D6CE3"/>
    <w:rsid w:val="60AB6566"/>
    <w:rsid w:val="62260909"/>
    <w:rsid w:val="643555B6"/>
    <w:rsid w:val="690C3919"/>
    <w:rsid w:val="6A570414"/>
    <w:rsid w:val="6C2048BA"/>
    <w:rsid w:val="6EF530A1"/>
    <w:rsid w:val="74111B9F"/>
    <w:rsid w:val="77624306"/>
    <w:rsid w:val="7CAA56DE"/>
    <w:rsid w:val="7E8458A8"/>
    <w:rsid w:val="7F454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1291</Words>
  <Characters>1422</Characters>
  <Lines>25</Lines>
  <Paragraphs>7</Paragraphs>
  <TotalTime>3</TotalTime>
  <ScaleCrop>false</ScaleCrop>
  <LinksUpToDate>false</LinksUpToDate>
  <CharactersWithSpaces>1440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2024-05-24T06:34:00Z</dcterms:created>
  <dc:creator>Administrator</dc:creator>
  <cp:lastModifiedBy>GOLD     RUNNER</cp:lastModifiedBy>
  <cp:lastPrinted>2024-05-28T08:15:00Z</cp:lastPrinted>
  <dcterms:modified xsi:type="dcterms:W3CDTF">2025-05-09T08:58:41Z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849371A10CDC46B496A19D017CBCF915_12</vt:lpwstr>
  </property>
</Properties>
</file>